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CE7" w:rsidRDefault="002A1637" w:rsidP="00615360">
      <w:pPr>
        <w:jc w:val="center"/>
        <w:rPr>
          <w:b/>
          <w:color w:val="808080" w:themeColor="background1" w:themeShade="80"/>
          <w:sz w:val="40"/>
          <w:u w:val="single"/>
        </w:rPr>
      </w:pPr>
      <w:r w:rsidRPr="008C27B9">
        <w:rPr>
          <w:b/>
          <w:color w:val="808080" w:themeColor="background1" w:themeShade="80"/>
          <w:sz w:val="40"/>
          <w:u w:val="single"/>
        </w:rPr>
        <w:t xml:space="preserve">Estimation des flux financiers associés à </w:t>
      </w:r>
      <w:r w:rsidR="000115CA">
        <w:rPr>
          <w:b/>
          <w:color w:val="808080" w:themeColor="background1" w:themeShade="80"/>
          <w:sz w:val="40"/>
          <w:u w:val="single"/>
        </w:rPr>
        <w:t>l’hydroélectricité</w:t>
      </w:r>
    </w:p>
    <w:p w:rsidR="00224D6D" w:rsidRPr="008C27B9" w:rsidRDefault="00F76E72" w:rsidP="00224D6D">
      <w:r w:rsidRPr="00F76E72">
        <w:rPr>
          <w:b/>
          <w:noProof/>
          <w:color w:val="808080" w:themeColor="background1" w:themeShade="80"/>
          <w:sz w:val="40"/>
          <w:u w:val="single"/>
          <w:lang w:eastAsia="fr-FR"/>
        </w:rPr>
        <w:pict>
          <v:roundrect id="_x0000_s1026" style="position:absolute;margin-left:-27.15pt;margin-top:4.9pt;width:500.35pt;height:465.45pt;z-index:251658240" arcsize="10923f" filled="f"/>
        </w:pict>
      </w:r>
    </w:p>
    <w:p w:rsidR="00C14AD1" w:rsidRDefault="00650501" w:rsidP="00045647">
      <w:pPr>
        <w:jc w:val="both"/>
        <w:rPr>
          <w:sz w:val="24"/>
        </w:rPr>
      </w:pPr>
      <w:r w:rsidRPr="008C27B9">
        <w:rPr>
          <w:b/>
          <w:sz w:val="24"/>
          <w:u w:val="single"/>
        </w:rPr>
        <w:t>Périmètre</w:t>
      </w:r>
      <w:r w:rsidR="00CA23B7">
        <w:rPr>
          <w:b/>
          <w:sz w:val="24"/>
          <w:u w:val="single"/>
        </w:rPr>
        <w:t xml:space="preserve"> </w:t>
      </w:r>
      <w:r w:rsidR="00CA23B7">
        <w:rPr>
          <w:b/>
          <w:sz w:val="24"/>
        </w:rPr>
        <w:t xml:space="preserve"> -  </w:t>
      </w:r>
      <w:r w:rsidR="00D825C1">
        <w:rPr>
          <w:sz w:val="24"/>
        </w:rPr>
        <w:t>L</w:t>
      </w:r>
      <w:r w:rsidR="00C14AD1">
        <w:rPr>
          <w:sz w:val="24"/>
        </w:rPr>
        <w:t>e périmètre de l</w:t>
      </w:r>
      <w:r w:rsidR="00D825C1">
        <w:rPr>
          <w:sz w:val="24"/>
        </w:rPr>
        <w:t>’usage hydroélectrique de l’eau</w:t>
      </w:r>
      <w:r w:rsidRPr="00650501">
        <w:rPr>
          <w:sz w:val="24"/>
        </w:rPr>
        <w:t xml:space="preserve"> </w:t>
      </w:r>
      <w:r w:rsidR="00C14AD1">
        <w:rPr>
          <w:sz w:val="24"/>
        </w:rPr>
        <w:t>peut inclure</w:t>
      </w:r>
      <w:r w:rsidR="00F15493">
        <w:rPr>
          <w:sz w:val="24"/>
        </w:rPr>
        <w:t xml:space="preserve"> </w:t>
      </w:r>
      <w:r w:rsidR="00C14AD1">
        <w:rPr>
          <w:sz w:val="24"/>
        </w:rPr>
        <w:t>l’utilisation d’</w:t>
      </w:r>
      <w:r w:rsidR="00F15493">
        <w:rPr>
          <w:sz w:val="24"/>
        </w:rPr>
        <w:t>un ensemble d’</w:t>
      </w:r>
      <w:r w:rsidR="00D825C1">
        <w:rPr>
          <w:sz w:val="24"/>
        </w:rPr>
        <w:t>infrastructures</w:t>
      </w:r>
      <w:r w:rsidR="00C14AD1">
        <w:rPr>
          <w:sz w:val="24"/>
        </w:rPr>
        <w:t xml:space="preserve"> très différentes, dont</w:t>
      </w:r>
      <w:r w:rsidR="00D825C1">
        <w:rPr>
          <w:sz w:val="24"/>
        </w:rPr>
        <w:t xml:space="preserve"> </w:t>
      </w:r>
      <w:r w:rsidR="00F15493">
        <w:rPr>
          <w:sz w:val="24"/>
        </w:rPr>
        <w:t xml:space="preserve">les </w:t>
      </w:r>
      <w:r w:rsidR="00D825C1" w:rsidRPr="00C61575">
        <w:rPr>
          <w:sz w:val="24"/>
        </w:rPr>
        <w:t>ouvrages de génie civil (prise d’eau, canal d’amenée et/ou conduite forcée), les aménagements piscicoles (passe à poissons,…), les équipements hydromécaniques</w:t>
      </w:r>
      <w:r w:rsidR="00C14AD1">
        <w:rPr>
          <w:sz w:val="24"/>
        </w:rPr>
        <w:t xml:space="preserve"> et électriques. </w:t>
      </w:r>
      <w:r w:rsidR="0073309C">
        <w:rPr>
          <w:sz w:val="24"/>
        </w:rPr>
        <w:t>Deux</w:t>
      </w:r>
      <w:r w:rsidR="00F15493" w:rsidRPr="00F15493">
        <w:rPr>
          <w:sz w:val="24"/>
        </w:rPr>
        <w:t xml:space="preserve"> scénarios de calcul sont présentés dans cette fiche</w:t>
      </w:r>
      <w:r w:rsidR="007B15AF">
        <w:rPr>
          <w:sz w:val="24"/>
        </w:rPr>
        <w:t xml:space="preserve"> selon </w:t>
      </w:r>
      <w:r w:rsidR="0073309C">
        <w:rPr>
          <w:sz w:val="24"/>
        </w:rPr>
        <w:t>deux</w:t>
      </w:r>
      <w:r w:rsidR="007B15AF">
        <w:rPr>
          <w:sz w:val="24"/>
        </w:rPr>
        <w:t xml:space="preserve"> </w:t>
      </w:r>
      <w:r w:rsidR="00C14AD1">
        <w:rPr>
          <w:sz w:val="24"/>
        </w:rPr>
        <w:t>périmètres</w:t>
      </w:r>
      <w:r w:rsidR="007B15AF">
        <w:rPr>
          <w:sz w:val="24"/>
        </w:rPr>
        <w:t xml:space="preserve"> différents : </w:t>
      </w:r>
    </w:p>
    <w:p w:rsidR="00F15493" w:rsidRPr="00C14AD1" w:rsidRDefault="00C14AD1" w:rsidP="00C14AD1">
      <w:pPr>
        <w:pStyle w:val="ListParagraph"/>
        <w:numPr>
          <w:ilvl w:val="0"/>
          <w:numId w:val="7"/>
        </w:numPr>
        <w:jc w:val="both"/>
        <w:rPr>
          <w:sz w:val="24"/>
        </w:rPr>
      </w:pPr>
      <w:r w:rsidRPr="00C14AD1">
        <w:rPr>
          <w:sz w:val="24"/>
        </w:rPr>
        <w:t>Scénario 1 intégrant uniquement l’utilisation du génie civil (60 % des investissements)</w:t>
      </w:r>
    </w:p>
    <w:p w:rsidR="0033076E" w:rsidRDefault="00C14AD1" w:rsidP="0033076E">
      <w:pPr>
        <w:pStyle w:val="ListParagraph"/>
        <w:numPr>
          <w:ilvl w:val="0"/>
          <w:numId w:val="7"/>
        </w:numPr>
        <w:jc w:val="both"/>
        <w:rPr>
          <w:sz w:val="24"/>
        </w:rPr>
      </w:pPr>
      <w:r w:rsidRPr="00C14AD1">
        <w:rPr>
          <w:sz w:val="24"/>
        </w:rPr>
        <w:t xml:space="preserve">Scénario 2 intégrant l’ensemble des ouvrages </w:t>
      </w:r>
      <w:r>
        <w:rPr>
          <w:sz w:val="24"/>
        </w:rPr>
        <w:t xml:space="preserve">de </w:t>
      </w:r>
      <w:r w:rsidRPr="00C14AD1">
        <w:rPr>
          <w:sz w:val="24"/>
        </w:rPr>
        <w:t xml:space="preserve">génie civil </w:t>
      </w:r>
      <w:r w:rsidR="0073309C">
        <w:rPr>
          <w:sz w:val="24"/>
        </w:rPr>
        <w:t>ainsi que</w:t>
      </w:r>
      <w:r w:rsidRPr="00C14AD1">
        <w:rPr>
          <w:sz w:val="24"/>
        </w:rPr>
        <w:t xml:space="preserve"> </w:t>
      </w:r>
      <w:r>
        <w:rPr>
          <w:sz w:val="24"/>
        </w:rPr>
        <w:t xml:space="preserve">les </w:t>
      </w:r>
      <w:r w:rsidRPr="00C14AD1">
        <w:rPr>
          <w:sz w:val="24"/>
        </w:rPr>
        <w:t>équipements</w:t>
      </w:r>
      <w:r>
        <w:rPr>
          <w:sz w:val="24"/>
        </w:rPr>
        <w:t xml:space="preserve"> </w:t>
      </w:r>
      <w:r w:rsidRPr="00C61575">
        <w:rPr>
          <w:sz w:val="24"/>
        </w:rPr>
        <w:t>hydromécaniques</w:t>
      </w:r>
      <w:r>
        <w:rPr>
          <w:sz w:val="24"/>
        </w:rPr>
        <w:t xml:space="preserve"> et électrique</w:t>
      </w:r>
      <w:r w:rsidR="0033076E">
        <w:rPr>
          <w:sz w:val="24"/>
        </w:rPr>
        <w:t>s</w:t>
      </w:r>
    </w:p>
    <w:p w:rsidR="0033076E" w:rsidRPr="0033076E" w:rsidRDefault="0033076E" w:rsidP="0033076E">
      <w:pPr>
        <w:jc w:val="both"/>
        <w:rPr>
          <w:sz w:val="24"/>
        </w:rPr>
      </w:pPr>
      <w:r>
        <w:rPr>
          <w:sz w:val="24"/>
        </w:rPr>
        <w:t xml:space="preserve">Les montants présentés sont hors coûts environnementaux, c'est-à-dire hors coûts constatés suite à une dégradation du milieu aquatique. </w:t>
      </w:r>
    </w:p>
    <w:p w:rsidR="00CA23B7" w:rsidRPr="00F15493" w:rsidRDefault="00650501" w:rsidP="005F749D">
      <w:pPr>
        <w:jc w:val="both"/>
        <w:outlineLvl w:val="0"/>
        <w:rPr>
          <w:rFonts w:ascii="Times-Roman" w:hAnsi="Times-Roman" w:cs="Times-Roman"/>
        </w:rPr>
      </w:pPr>
      <w:r w:rsidRPr="008C27B9">
        <w:rPr>
          <w:b/>
          <w:sz w:val="24"/>
          <w:u w:val="single"/>
        </w:rPr>
        <w:t>Chiffres clés</w:t>
      </w:r>
      <w:r>
        <w:rPr>
          <w:b/>
          <w:sz w:val="24"/>
          <w:u w:val="single"/>
        </w:rPr>
        <w:t> </w:t>
      </w:r>
    </w:p>
    <w:p w:rsidR="00CA23B7" w:rsidRPr="00B32443" w:rsidRDefault="00D825C1" w:rsidP="00045647">
      <w:pPr>
        <w:pStyle w:val="ListParagraph"/>
        <w:numPr>
          <w:ilvl w:val="0"/>
          <w:numId w:val="1"/>
        </w:numPr>
        <w:tabs>
          <w:tab w:val="left" w:pos="142"/>
        </w:tabs>
        <w:ind w:left="284"/>
        <w:jc w:val="both"/>
      </w:pPr>
      <w:r w:rsidRPr="00D825C1">
        <w:rPr>
          <w:sz w:val="24"/>
        </w:rPr>
        <w:t>Le</w:t>
      </w:r>
      <w:r w:rsidR="00FE31D0">
        <w:rPr>
          <w:sz w:val="24"/>
        </w:rPr>
        <w:t>s</w:t>
      </w:r>
      <w:r w:rsidRPr="00D825C1">
        <w:rPr>
          <w:sz w:val="24"/>
        </w:rPr>
        <w:t xml:space="preserve"> bassin</w:t>
      </w:r>
      <w:r w:rsidR="00FE31D0">
        <w:rPr>
          <w:sz w:val="24"/>
        </w:rPr>
        <w:t>s</w:t>
      </w:r>
      <w:r w:rsidRPr="00D825C1">
        <w:rPr>
          <w:sz w:val="24"/>
        </w:rPr>
        <w:t xml:space="preserve"> RM</w:t>
      </w:r>
      <w:r w:rsidR="00FE31D0">
        <w:rPr>
          <w:sz w:val="24"/>
        </w:rPr>
        <w:t>&amp;</w:t>
      </w:r>
      <w:r w:rsidRPr="00D825C1">
        <w:rPr>
          <w:sz w:val="24"/>
        </w:rPr>
        <w:t>C représente</w:t>
      </w:r>
      <w:r w:rsidR="008E7B3F">
        <w:rPr>
          <w:sz w:val="24"/>
        </w:rPr>
        <w:t xml:space="preserve"> en moyenne</w:t>
      </w:r>
      <w:r w:rsidRPr="00D825C1">
        <w:rPr>
          <w:sz w:val="24"/>
        </w:rPr>
        <w:t xml:space="preserve"> </w:t>
      </w:r>
      <w:r w:rsidRPr="00D825C1">
        <w:rPr>
          <w:b/>
          <w:sz w:val="24"/>
        </w:rPr>
        <w:t>60% de l’hydroélectricité produite en France</w:t>
      </w:r>
      <w:r w:rsidRPr="00D825C1">
        <w:rPr>
          <w:sz w:val="24"/>
        </w:rPr>
        <w:t xml:space="preserve"> (dont 40% en Rhône alpes)</w:t>
      </w:r>
      <w:r w:rsidR="00FA4B00">
        <w:rPr>
          <w:sz w:val="24"/>
        </w:rPr>
        <w:t xml:space="preserve"> </w:t>
      </w:r>
    </w:p>
    <w:p w:rsidR="00F15493" w:rsidRPr="000B50C2" w:rsidRDefault="00FA4B00" w:rsidP="00045647">
      <w:pPr>
        <w:pStyle w:val="ListParagraph"/>
        <w:numPr>
          <w:ilvl w:val="0"/>
          <w:numId w:val="1"/>
        </w:numPr>
        <w:tabs>
          <w:tab w:val="left" w:pos="142"/>
        </w:tabs>
        <w:ind w:left="284"/>
        <w:jc w:val="both"/>
      </w:pPr>
      <w:r>
        <w:rPr>
          <w:sz w:val="24"/>
        </w:rPr>
        <w:t>Cout de production complet d’un ouvrage hydroélectrique </w:t>
      </w:r>
      <w:r w:rsidRPr="00B4221B">
        <w:rPr>
          <w:b/>
          <w:sz w:val="24"/>
        </w:rPr>
        <w:t xml:space="preserve">: </w:t>
      </w:r>
      <w:r w:rsidR="00B4221B" w:rsidRPr="00B4221B">
        <w:rPr>
          <w:b/>
          <w:sz w:val="24"/>
        </w:rPr>
        <w:t>6</w:t>
      </w:r>
      <w:r w:rsidRPr="00B4221B">
        <w:rPr>
          <w:b/>
          <w:sz w:val="24"/>
        </w:rPr>
        <w:t>5</w:t>
      </w:r>
      <w:r w:rsidRPr="00FA4B00">
        <w:rPr>
          <w:b/>
          <w:sz w:val="24"/>
        </w:rPr>
        <w:t xml:space="preserve"> euros/</w:t>
      </w:r>
      <w:proofErr w:type="spellStart"/>
      <w:r w:rsidRPr="00FA4B00">
        <w:rPr>
          <w:b/>
          <w:sz w:val="24"/>
        </w:rPr>
        <w:t>MWh</w:t>
      </w:r>
      <w:proofErr w:type="spellEnd"/>
      <w:r w:rsidR="00B4221B">
        <w:rPr>
          <w:b/>
          <w:sz w:val="24"/>
        </w:rPr>
        <w:t xml:space="preserve"> </w:t>
      </w:r>
      <w:r w:rsidR="00E41DAE">
        <w:rPr>
          <w:b/>
          <w:sz w:val="24"/>
        </w:rPr>
        <w:t>produit</w:t>
      </w:r>
    </w:p>
    <w:p w:rsidR="009B72D4" w:rsidRDefault="000B50C2" w:rsidP="00045647">
      <w:pPr>
        <w:jc w:val="both"/>
        <w:rPr>
          <w:b/>
          <w:sz w:val="24"/>
          <w:u w:val="single"/>
        </w:rPr>
      </w:pPr>
      <w:r w:rsidRPr="000B50C2">
        <w:drawing>
          <wp:inline distT="0" distB="0" distL="0" distR="0">
            <wp:extent cx="5760720" cy="1517906"/>
            <wp:effectExtent l="19050" t="0" r="0" b="0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17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F8A" w:rsidRPr="00137681" w:rsidRDefault="00137681" w:rsidP="005F749D">
      <w:pPr>
        <w:ind w:left="-284"/>
        <w:jc w:val="center"/>
        <w:outlineLvl w:val="0"/>
        <w:rPr>
          <w:b/>
          <w:i/>
          <w:sz w:val="20"/>
        </w:rPr>
      </w:pPr>
      <w:r w:rsidRPr="00137681">
        <w:rPr>
          <w:b/>
          <w:i/>
          <w:sz w:val="20"/>
        </w:rPr>
        <w:t xml:space="preserve">Tableau 1 : </w:t>
      </w:r>
      <w:r w:rsidR="00DF1D51">
        <w:rPr>
          <w:b/>
          <w:i/>
          <w:sz w:val="20"/>
        </w:rPr>
        <w:t>C</w:t>
      </w:r>
      <w:r w:rsidRPr="00137681">
        <w:rPr>
          <w:b/>
          <w:i/>
          <w:sz w:val="20"/>
        </w:rPr>
        <w:t xml:space="preserve">oûts et flux financiers </w:t>
      </w:r>
      <w:r w:rsidR="00DF1D51">
        <w:rPr>
          <w:b/>
          <w:i/>
          <w:sz w:val="20"/>
        </w:rPr>
        <w:t xml:space="preserve">annuels </w:t>
      </w:r>
      <w:r w:rsidRPr="00137681">
        <w:rPr>
          <w:b/>
          <w:i/>
          <w:sz w:val="20"/>
        </w:rPr>
        <w:t>relatifs à l’hydroélectricité sur le bassine RMC en M</w:t>
      </w:r>
      <w:r w:rsidRPr="00137681">
        <w:rPr>
          <w:rFonts w:ascii="Arial" w:hAnsi="Arial" w:cs="Arial"/>
          <w:b/>
          <w:i/>
          <w:sz w:val="20"/>
        </w:rPr>
        <w:t>€</w:t>
      </w:r>
    </w:p>
    <w:p w:rsidR="00CB2D02" w:rsidRPr="00CB2D02" w:rsidRDefault="00CB2D02" w:rsidP="00045647">
      <w:pPr>
        <w:jc w:val="both"/>
        <w:rPr>
          <w:b/>
          <w:sz w:val="8"/>
          <w:u w:val="single"/>
        </w:rPr>
      </w:pPr>
    </w:p>
    <w:p w:rsidR="00CF5F8A" w:rsidRPr="00CA23B7" w:rsidRDefault="00137681" w:rsidP="005F749D">
      <w:pPr>
        <w:jc w:val="both"/>
        <w:outlineLvl w:val="0"/>
        <w:rPr>
          <w:b/>
          <w:sz w:val="24"/>
          <w:u w:val="single"/>
        </w:rPr>
      </w:pPr>
      <w:r>
        <w:rPr>
          <w:b/>
          <w:sz w:val="24"/>
          <w:u w:val="single"/>
        </w:rPr>
        <w:t>Méthodologie de calcul</w:t>
      </w:r>
      <w:r w:rsidR="00CA23B7" w:rsidRPr="00CA23B7">
        <w:rPr>
          <w:b/>
          <w:sz w:val="24"/>
          <w:u w:val="single"/>
        </w:rPr>
        <w:t xml:space="preserve"> et</w:t>
      </w:r>
      <w:r>
        <w:rPr>
          <w:b/>
          <w:sz w:val="24"/>
          <w:u w:val="single"/>
        </w:rPr>
        <w:t xml:space="preserve"> principales</w:t>
      </w:r>
      <w:r w:rsidR="00CA23B7" w:rsidRPr="00CA23B7">
        <w:rPr>
          <w:b/>
          <w:sz w:val="24"/>
          <w:u w:val="single"/>
        </w:rPr>
        <w:t xml:space="preserve"> hypothèses</w:t>
      </w:r>
    </w:p>
    <w:p w:rsidR="00B23692" w:rsidRDefault="00B23692" w:rsidP="00045647">
      <w:pPr>
        <w:pStyle w:val="ListParagraph"/>
        <w:numPr>
          <w:ilvl w:val="0"/>
          <w:numId w:val="1"/>
        </w:numPr>
        <w:tabs>
          <w:tab w:val="left" w:pos="142"/>
        </w:tabs>
        <w:spacing w:line="240" w:lineRule="auto"/>
        <w:ind w:left="284"/>
        <w:jc w:val="both"/>
        <w:rPr>
          <w:sz w:val="24"/>
        </w:rPr>
      </w:pPr>
      <w:r>
        <w:rPr>
          <w:noProof/>
          <w:sz w:val="24"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438785</wp:posOffset>
            </wp:positionV>
            <wp:extent cx="5762625" cy="800100"/>
            <wp:effectExtent l="19050" t="0" r="9525" b="0"/>
            <wp:wrapNone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7481" w:rsidRPr="00B23692">
        <w:rPr>
          <w:sz w:val="24"/>
        </w:rPr>
        <w:t>Un recensement du patrimoine hydro-électrique en RM</w:t>
      </w:r>
      <w:r w:rsidR="00FE31D0">
        <w:rPr>
          <w:sz w:val="24"/>
        </w:rPr>
        <w:t>&amp;</w:t>
      </w:r>
      <w:r w:rsidR="00117481" w:rsidRPr="00B23692">
        <w:rPr>
          <w:sz w:val="24"/>
        </w:rPr>
        <w:t xml:space="preserve">C a été réalisé sur base des données de l’agence de l’eau RMC </w:t>
      </w:r>
      <w:r w:rsidRPr="00B23692">
        <w:rPr>
          <w:sz w:val="24"/>
        </w:rPr>
        <w:t>[1</w:t>
      </w:r>
      <w:r>
        <w:rPr>
          <w:sz w:val="24"/>
        </w:rPr>
        <w:t>].</w:t>
      </w:r>
    </w:p>
    <w:p w:rsidR="00B23692" w:rsidRPr="00B23692" w:rsidRDefault="00B23692" w:rsidP="00045647">
      <w:pPr>
        <w:tabs>
          <w:tab w:val="left" w:pos="142"/>
        </w:tabs>
        <w:spacing w:line="240" w:lineRule="auto"/>
        <w:jc w:val="both"/>
        <w:rPr>
          <w:sz w:val="24"/>
        </w:rPr>
      </w:pPr>
    </w:p>
    <w:p w:rsidR="00B23692" w:rsidRDefault="00B23692" w:rsidP="00045647">
      <w:pPr>
        <w:pStyle w:val="ListParagraph"/>
        <w:tabs>
          <w:tab w:val="left" w:pos="142"/>
        </w:tabs>
        <w:spacing w:line="240" w:lineRule="auto"/>
        <w:ind w:left="284"/>
        <w:jc w:val="both"/>
        <w:rPr>
          <w:sz w:val="24"/>
        </w:rPr>
      </w:pPr>
    </w:p>
    <w:p w:rsidR="00183E5D" w:rsidRPr="00B23692" w:rsidRDefault="00183E5D" w:rsidP="00045647">
      <w:pPr>
        <w:pStyle w:val="ListParagraph"/>
        <w:tabs>
          <w:tab w:val="left" w:pos="142"/>
        </w:tabs>
        <w:spacing w:line="240" w:lineRule="auto"/>
        <w:ind w:left="284"/>
        <w:jc w:val="both"/>
        <w:rPr>
          <w:sz w:val="24"/>
        </w:rPr>
      </w:pPr>
    </w:p>
    <w:p w:rsidR="00B23692" w:rsidRPr="00B23692" w:rsidRDefault="00B23692" w:rsidP="00045647">
      <w:pPr>
        <w:pStyle w:val="ListParagraph"/>
        <w:tabs>
          <w:tab w:val="left" w:pos="142"/>
        </w:tabs>
        <w:ind w:left="284"/>
        <w:jc w:val="both"/>
        <w:rPr>
          <w:b/>
          <w:i/>
          <w:sz w:val="8"/>
        </w:rPr>
      </w:pPr>
    </w:p>
    <w:p w:rsidR="00137681" w:rsidRDefault="00137681" w:rsidP="005F749D">
      <w:pPr>
        <w:pStyle w:val="ListParagraph"/>
        <w:tabs>
          <w:tab w:val="left" w:pos="142"/>
        </w:tabs>
        <w:ind w:left="284"/>
        <w:jc w:val="center"/>
        <w:outlineLvl w:val="0"/>
        <w:rPr>
          <w:b/>
          <w:i/>
          <w:sz w:val="20"/>
        </w:rPr>
      </w:pPr>
      <w:r w:rsidRPr="00137681">
        <w:rPr>
          <w:b/>
          <w:i/>
          <w:sz w:val="20"/>
        </w:rPr>
        <w:t xml:space="preserve">Tableau 2 : </w:t>
      </w:r>
      <w:r w:rsidR="00183E5D">
        <w:rPr>
          <w:b/>
          <w:i/>
          <w:sz w:val="20"/>
        </w:rPr>
        <w:t>Recensement du p</w:t>
      </w:r>
      <w:r w:rsidRPr="00137681">
        <w:rPr>
          <w:b/>
          <w:i/>
          <w:sz w:val="20"/>
        </w:rPr>
        <w:t>atrimoine hydro-électrique du bassin RMC</w:t>
      </w:r>
    </w:p>
    <w:p w:rsidR="00CB2D02" w:rsidRPr="00137681" w:rsidRDefault="00CB2D02" w:rsidP="00045647">
      <w:pPr>
        <w:pStyle w:val="ListParagraph"/>
        <w:tabs>
          <w:tab w:val="left" w:pos="142"/>
        </w:tabs>
        <w:ind w:left="284"/>
        <w:jc w:val="center"/>
        <w:rPr>
          <w:b/>
          <w:i/>
          <w:sz w:val="20"/>
        </w:rPr>
      </w:pPr>
    </w:p>
    <w:p w:rsidR="00224D6D" w:rsidRDefault="00117481" w:rsidP="00045647">
      <w:pPr>
        <w:pStyle w:val="ListParagraph"/>
        <w:numPr>
          <w:ilvl w:val="0"/>
          <w:numId w:val="1"/>
        </w:numPr>
        <w:tabs>
          <w:tab w:val="left" w:pos="142"/>
        </w:tabs>
        <w:ind w:left="284"/>
        <w:jc w:val="both"/>
        <w:rPr>
          <w:sz w:val="24"/>
        </w:rPr>
      </w:pPr>
      <w:r w:rsidRPr="00183E5D">
        <w:rPr>
          <w:sz w:val="24"/>
        </w:rPr>
        <w:lastRenderedPageBreak/>
        <w:t xml:space="preserve">Les coûts d’investissement </w:t>
      </w:r>
      <w:r w:rsidR="00FC504A" w:rsidRPr="00183E5D">
        <w:rPr>
          <w:sz w:val="24"/>
        </w:rPr>
        <w:t xml:space="preserve">ont été </w:t>
      </w:r>
      <w:r w:rsidR="00183E5D" w:rsidRPr="00183E5D">
        <w:rPr>
          <w:sz w:val="24"/>
        </w:rPr>
        <w:t>déterminés</w:t>
      </w:r>
      <w:r w:rsidR="00FC504A" w:rsidRPr="00183E5D">
        <w:rPr>
          <w:sz w:val="24"/>
        </w:rPr>
        <w:t xml:space="preserve"> sur base de</w:t>
      </w:r>
      <w:r w:rsidR="00B23692">
        <w:rPr>
          <w:sz w:val="24"/>
        </w:rPr>
        <w:t>s données du rapport de la DGEC*</w:t>
      </w:r>
      <w:r w:rsidR="00045647">
        <w:rPr>
          <w:sz w:val="24"/>
        </w:rPr>
        <w:t>[2]</w:t>
      </w:r>
      <w:r w:rsidR="00B23692">
        <w:rPr>
          <w:sz w:val="24"/>
        </w:rPr>
        <w:t xml:space="preserve"> </w:t>
      </w:r>
      <w:r w:rsidR="00183E5D" w:rsidRPr="00183E5D">
        <w:rPr>
          <w:sz w:val="24"/>
        </w:rPr>
        <w:t>mais également</w:t>
      </w:r>
      <w:r w:rsidR="00FC504A" w:rsidRPr="00183E5D">
        <w:rPr>
          <w:sz w:val="24"/>
        </w:rPr>
        <w:t xml:space="preserve"> celles fournies par l’</w:t>
      </w:r>
      <w:r w:rsidR="00183E5D">
        <w:rPr>
          <w:sz w:val="24"/>
        </w:rPr>
        <w:t>UFE</w:t>
      </w:r>
      <w:r w:rsidR="00B23692">
        <w:rPr>
          <w:sz w:val="24"/>
        </w:rPr>
        <w:t>**</w:t>
      </w:r>
      <w:r w:rsidR="00045647">
        <w:rPr>
          <w:sz w:val="24"/>
        </w:rPr>
        <w:t xml:space="preserve"> [3]</w:t>
      </w:r>
      <w:r w:rsidR="00183E5D">
        <w:rPr>
          <w:sz w:val="24"/>
        </w:rPr>
        <w:t>. Ces coûts regroupent aussi bien les frais de dossier et d’études, les investissements liés au génie civil et les coûts associé</w:t>
      </w:r>
      <w:r w:rsidR="00224D6D">
        <w:rPr>
          <w:sz w:val="24"/>
        </w:rPr>
        <w:t>s aux équipes hydromécaniques.</w:t>
      </w:r>
    </w:p>
    <w:p w:rsidR="00BF17CC" w:rsidRPr="00224D6D" w:rsidRDefault="00183E5D" w:rsidP="00224D6D">
      <w:pPr>
        <w:tabs>
          <w:tab w:val="left" w:pos="142"/>
        </w:tabs>
        <w:ind w:left="-76"/>
        <w:jc w:val="both"/>
        <w:rPr>
          <w:sz w:val="24"/>
        </w:rPr>
      </w:pPr>
      <w:r w:rsidRPr="00224D6D">
        <w:rPr>
          <w:sz w:val="24"/>
        </w:rPr>
        <w:t>Le tableau 3 présente</w:t>
      </w:r>
      <w:r w:rsidR="00B23692" w:rsidRPr="00224D6D">
        <w:rPr>
          <w:sz w:val="24"/>
        </w:rPr>
        <w:t xml:space="preserve"> la répartition du coût</w:t>
      </w:r>
      <w:r w:rsidR="00BF17CC" w:rsidRPr="00224D6D">
        <w:rPr>
          <w:sz w:val="24"/>
        </w:rPr>
        <w:t xml:space="preserve"> d’investissement </w:t>
      </w:r>
      <w:r w:rsidR="00B23692" w:rsidRPr="00224D6D">
        <w:rPr>
          <w:sz w:val="24"/>
        </w:rPr>
        <w:t>d’une installation hydroélectrique en fonction de ces différents postes et les durées d’am</w:t>
      </w:r>
      <w:r w:rsidRPr="00224D6D">
        <w:rPr>
          <w:sz w:val="24"/>
        </w:rPr>
        <w:t>ortissement associées</w:t>
      </w:r>
      <w:r w:rsidR="0073309C">
        <w:rPr>
          <w:sz w:val="24"/>
        </w:rPr>
        <w:t xml:space="preserve"> [2] </w:t>
      </w:r>
      <w:r w:rsidR="00BF17CC" w:rsidRPr="00224D6D">
        <w:rPr>
          <w:sz w:val="24"/>
        </w:rPr>
        <w:t>:</w:t>
      </w:r>
    </w:p>
    <w:p w:rsidR="00B23692" w:rsidRPr="00B23692" w:rsidRDefault="00C14AD1" w:rsidP="00045647">
      <w:pPr>
        <w:tabs>
          <w:tab w:val="left" w:pos="142"/>
        </w:tabs>
        <w:jc w:val="both"/>
        <w:rPr>
          <w:sz w:val="24"/>
        </w:rPr>
      </w:pPr>
      <w:r>
        <w:rPr>
          <w:noProof/>
          <w:sz w:val="24"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-25400</wp:posOffset>
            </wp:positionV>
            <wp:extent cx="5765800" cy="690880"/>
            <wp:effectExtent l="19050" t="0" r="6350" b="0"/>
            <wp:wrapNone/>
            <wp:docPr id="18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3692" w:rsidRPr="00183E5D" w:rsidRDefault="00B23692" w:rsidP="00045647">
      <w:pPr>
        <w:pStyle w:val="ListParagraph"/>
        <w:tabs>
          <w:tab w:val="left" w:pos="142"/>
        </w:tabs>
        <w:ind w:left="284"/>
        <w:jc w:val="both"/>
        <w:rPr>
          <w:sz w:val="24"/>
        </w:rPr>
      </w:pPr>
    </w:p>
    <w:p w:rsidR="00B23692" w:rsidRPr="00B23692" w:rsidRDefault="00B23692" w:rsidP="00045647">
      <w:pPr>
        <w:pStyle w:val="ListParagraph"/>
        <w:tabs>
          <w:tab w:val="left" w:pos="142"/>
        </w:tabs>
        <w:ind w:left="284"/>
        <w:jc w:val="both"/>
        <w:rPr>
          <w:b/>
          <w:i/>
          <w:sz w:val="16"/>
        </w:rPr>
      </w:pPr>
    </w:p>
    <w:p w:rsidR="00183E5D" w:rsidRPr="00183E5D" w:rsidRDefault="00183E5D" w:rsidP="005F749D">
      <w:pPr>
        <w:pStyle w:val="ListParagraph"/>
        <w:tabs>
          <w:tab w:val="left" w:pos="142"/>
        </w:tabs>
        <w:ind w:left="284"/>
        <w:jc w:val="center"/>
        <w:outlineLvl w:val="0"/>
        <w:rPr>
          <w:b/>
          <w:i/>
          <w:sz w:val="20"/>
        </w:rPr>
      </w:pPr>
      <w:r w:rsidRPr="00183E5D">
        <w:rPr>
          <w:b/>
          <w:i/>
          <w:sz w:val="20"/>
        </w:rPr>
        <w:t>Tableau 3 : Répartition des coûts d’investissement</w:t>
      </w:r>
    </w:p>
    <w:p w:rsidR="00C14AD1" w:rsidRDefault="00C14AD1" w:rsidP="00045647">
      <w:pPr>
        <w:pStyle w:val="ListParagraph"/>
        <w:tabs>
          <w:tab w:val="left" w:pos="142"/>
        </w:tabs>
        <w:ind w:left="284"/>
        <w:jc w:val="both"/>
        <w:rPr>
          <w:sz w:val="24"/>
        </w:rPr>
      </w:pPr>
    </w:p>
    <w:p w:rsidR="00BF17CC" w:rsidRDefault="0073309C" w:rsidP="00045647">
      <w:pPr>
        <w:pStyle w:val="ListParagraph"/>
        <w:tabs>
          <w:tab w:val="left" w:pos="142"/>
        </w:tabs>
        <w:ind w:left="284"/>
        <w:jc w:val="both"/>
        <w:rPr>
          <w:sz w:val="24"/>
        </w:rPr>
      </w:pPr>
      <w:r>
        <w:rPr>
          <w:sz w:val="24"/>
        </w:rPr>
        <w:t>L</w:t>
      </w:r>
      <w:r w:rsidR="00183E5D">
        <w:rPr>
          <w:sz w:val="24"/>
        </w:rPr>
        <w:t>e</w:t>
      </w:r>
      <w:r w:rsidR="00B23692">
        <w:rPr>
          <w:sz w:val="24"/>
        </w:rPr>
        <w:t>s</w:t>
      </w:r>
      <w:r w:rsidR="00183E5D">
        <w:rPr>
          <w:sz w:val="24"/>
        </w:rPr>
        <w:t xml:space="preserve"> calcul</w:t>
      </w:r>
      <w:r w:rsidR="00B23692">
        <w:rPr>
          <w:sz w:val="24"/>
        </w:rPr>
        <w:t>s</w:t>
      </w:r>
      <w:r w:rsidR="00183E5D">
        <w:rPr>
          <w:sz w:val="24"/>
        </w:rPr>
        <w:t xml:space="preserve"> </w:t>
      </w:r>
      <w:r w:rsidR="00BF17CC">
        <w:rPr>
          <w:sz w:val="24"/>
        </w:rPr>
        <w:t>d</w:t>
      </w:r>
      <w:r w:rsidR="00B23692">
        <w:rPr>
          <w:sz w:val="24"/>
        </w:rPr>
        <w:t>u coût</w:t>
      </w:r>
      <w:r w:rsidR="00BF17CC">
        <w:rPr>
          <w:sz w:val="24"/>
        </w:rPr>
        <w:t xml:space="preserve"> d’investissement </w:t>
      </w:r>
      <w:r w:rsidR="00B23692">
        <w:rPr>
          <w:sz w:val="24"/>
        </w:rPr>
        <w:t xml:space="preserve">moyen </w:t>
      </w:r>
      <w:r w:rsidR="00BF17CC">
        <w:rPr>
          <w:sz w:val="24"/>
        </w:rPr>
        <w:t xml:space="preserve">et </w:t>
      </w:r>
      <w:r w:rsidR="00CB2D02">
        <w:rPr>
          <w:sz w:val="24"/>
        </w:rPr>
        <w:t xml:space="preserve">de l’amortissement </w:t>
      </w:r>
      <w:r w:rsidR="008F57B3">
        <w:rPr>
          <w:sz w:val="24"/>
        </w:rPr>
        <w:t xml:space="preserve">annuel </w:t>
      </w:r>
      <w:r w:rsidR="00CB2D02">
        <w:rPr>
          <w:sz w:val="24"/>
        </w:rPr>
        <w:t>du capital</w:t>
      </w:r>
      <w:r w:rsidR="00B23692">
        <w:rPr>
          <w:sz w:val="24"/>
        </w:rPr>
        <w:t xml:space="preserve"> </w:t>
      </w:r>
      <w:r w:rsidR="00183E5D">
        <w:rPr>
          <w:sz w:val="24"/>
        </w:rPr>
        <w:t xml:space="preserve"> </w:t>
      </w:r>
      <w:r w:rsidR="00B23692">
        <w:rPr>
          <w:sz w:val="24"/>
        </w:rPr>
        <w:t xml:space="preserve">ont </w:t>
      </w:r>
      <w:r w:rsidR="00183E5D">
        <w:rPr>
          <w:sz w:val="24"/>
        </w:rPr>
        <w:t>été effectué</w:t>
      </w:r>
      <w:r w:rsidR="00B23692">
        <w:rPr>
          <w:sz w:val="24"/>
        </w:rPr>
        <w:t>s</w:t>
      </w:r>
      <w:r w:rsidR="00183E5D">
        <w:rPr>
          <w:sz w:val="24"/>
        </w:rPr>
        <w:t xml:space="preserve"> sur </w:t>
      </w:r>
      <w:r>
        <w:rPr>
          <w:sz w:val="24"/>
        </w:rPr>
        <w:t>deux</w:t>
      </w:r>
      <w:r w:rsidR="00183E5D">
        <w:rPr>
          <w:sz w:val="24"/>
        </w:rPr>
        <w:t xml:space="preserve"> périmètres</w:t>
      </w:r>
      <w:r w:rsidR="00045647">
        <w:rPr>
          <w:sz w:val="24"/>
        </w:rPr>
        <w:t xml:space="preserve">. Ils sont présentés </w:t>
      </w:r>
      <w:r w:rsidR="00B23692">
        <w:rPr>
          <w:sz w:val="24"/>
        </w:rPr>
        <w:t xml:space="preserve">dans le </w:t>
      </w:r>
      <w:r w:rsidR="00BF17CC">
        <w:rPr>
          <w:sz w:val="24"/>
        </w:rPr>
        <w:t>tableau ci-dessous</w:t>
      </w:r>
      <w:r w:rsidR="0071468E">
        <w:rPr>
          <w:sz w:val="24"/>
        </w:rPr>
        <w:t>:</w:t>
      </w:r>
    </w:p>
    <w:p w:rsidR="00F41DB7" w:rsidRDefault="00F41DB7" w:rsidP="00045647">
      <w:pPr>
        <w:pStyle w:val="ListParagraph"/>
        <w:tabs>
          <w:tab w:val="left" w:pos="142"/>
        </w:tabs>
        <w:ind w:left="284"/>
        <w:jc w:val="both"/>
        <w:rPr>
          <w:sz w:val="10"/>
        </w:rPr>
      </w:pPr>
    </w:p>
    <w:p w:rsidR="00224D6D" w:rsidRPr="00B23692" w:rsidRDefault="00224D6D" w:rsidP="00045647">
      <w:pPr>
        <w:pStyle w:val="ListParagraph"/>
        <w:tabs>
          <w:tab w:val="left" w:pos="142"/>
        </w:tabs>
        <w:ind w:left="284"/>
        <w:jc w:val="both"/>
        <w:rPr>
          <w:sz w:val="10"/>
        </w:rPr>
      </w:pPr>
    </w:p>
    <w:p w:rsidR="0071468E" w:rsidRDefault="0073309C" w:rsidP="00045647">
      <w:pPr>
        <w:pStyle w:val="ListParagraph"/>
        <w:tabs>
          <w:tab w:val="left" w:pos="142"/>
        </w:tabs>
        <w:ind w:left="284"/>
        <w:jc w:val="both"/>
        <w:rPr>
          <w:sz w:val="24"/>
        </w:rPr>
      </w:pPr>
      <w:r w:rsidRPr="0073309C">
        <w:rPr>
          <w:noProof/>
          <w:lang w:eastAsia="fr-FR"/>
        </w:rPr>
        <w:drawing>
          <wp:inline distT="0" distB="0" distL="0" distR="0">
            <wp:extent cx="5760720" cy="1078733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78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DAE" w:rsidRPr="00ED7999" w:rsidRDefault="00E41DAE" w:rsidP="005F749D">
      <w:pPr>
        <w:spacing w:after="0"/>
        <w:ind w:left="-284"/>
        <w:jc w:val="center"/>
        <w:outlineLvl w:val="0"/>
        <w:rPr>
          <w:b/>
          <w:i/>
          <w:sz w:val="20"/>
        </w:rPr>
      </w:pPr>
      <w:r w:rsidRPr="00CC624A">
        <w:rPr>
          <w:b/>
          <w:i/>
          <w:sz w:val="20"/>
        </w:rPr>
        <w:t xml:space="preserve">Tableau </w:t>
      </w:r>
      <w:r>
        <w:rPr>
          <w:b/>
          <w:i/>
          <w:sz w:val="20"/>
        </w:rPr>
        <w:t>4</w:t>
      </w:r>
      <w:r w:rsidRPr="00CC624A">
        <w:rPr>
          <w:b/>
          <w:i/>
          <w:sz w:val="20"/>
        </w:rPr>
        <w:t xml:space="preserve"> : </w:t>
      </w:r>
      <w:r w:rsidR="0073309C">
        <w:rPr>
          <w:b/>
          <w:i/>
          <w:sz w:val="20"/>
        </w:rPr>
        <w:t xml:space="preserve">Deux </w:t>
      </w:r>
      <w:r w:rsidRPr="00CC624A">
        <w:rPr>
          <w:b/>
          <w:i/>
          <w:sz w:val="20"/>
        </w:rPr>
        <w:t>scénarios</w:t>
      </w:r>
      <w:r w:rsidR="00ED7999">
        <w:rPr>
          <w:b/>
          <w:i/>
          <w:sz w:val="20"/>
        </w:rPr>
        <w:t xml:space="preserve"> du coût d’investissement en</w:t>
      </w:r>
      <w:r w:rsidRPr="00CC624A">
        <w:rPr>
          <w:b/>
          <w:i/>
          <w:sz w:val="20"/>
        </w:rPr>
        <w:t xml:space="preserve"> </w:t>
      </w:r>
      <w:r w:rsidR="00ED7999" w:rsidRPr="00137681">
        <w:rPr>
          <w:b/>
          <w:i/>
          <w:sz w:val="20"/>
        </w:rPr>
        <w:t>M</w:t>
      </w:r>
      <w:r w:rsidR="00ED7999" w:rsidRPr="00137681">
        <w:rPr>
          <w:rFonts w:ascii="Arial" w:hAnsi="Arial" w:cs="Arial"/>
          <w:b/>
          <w:i/>
          <w:sz w:val="20"/>
        </w:rPr>
        <w:t>€</w:t>
      </w:r>
      <w:r w:rsidR="00ED7999">
        <w:rPr>
          <w:b/>
          <w:i/>
          <w:sz w:val="20"/>
        </w:rPr>
        <w:t xml:space="preserve"> </w:t>
      </w:r>
      <w:r w:rsidRPr="00ED7999">
        <w:rPr>
          <w:b/>
          <w:i/>
          <w:sz w:val="20"/>
        </w:rPr>
        <w:t xml:space="preserve">et de son amortissement </w:t>
      </w:r>
    </w:p>
    <w:p w:rsidR="00E41DAE" w:rsidRDefault="00E41DAE" w:rsidP="00ED7999">
      <w:pPr>
        <w:pStyle w:val="ListParagraph"/>
        <w:tabs>
          <w:tab w:val="left" w:pos="142"/>
        </w:tabs>
        <w:spacing w:after="0"/>
        <w:ind w:left="284"/>
        <w:jc w:val="center"/>
        <w:rPr>
          <w:b/>
          <w:i/>
          <w:sz w:val="20"/>
        </w:rPr>
      </w:pPr>
      <w:r>
        <w:rPr>
          <w:b/>
          <w:i/>
          <w:sz w:val="20"/>
        </w:rPr>
        <w:t>Source : Direction Générale de l’Energie et du Climat</w:t>
      </w:r>
    </w:p>
    <w:p w:rsidR="00224D6D" w:rsidRDefault="00224D6D" w:rsidP="00ED7999">
      <w:pPr>
        <w:pStyle w:val="ListParagraph"/>
        <w:tabs>
          <w:tab w:val="left" w:pos="142"/>
        </w:tabs>
        <w:spacing w:after="0"/>
        <w:ind w:left="284"/>
        <w:jc w:val="center"/>
        <w:rPr>
          <w:b/>
          <w:i/>
          <w:sz w:val="20"/>
        </w:rPr>
      </w:pPr>
    </w:p>
    <w:p w:rsidR="0071468E" w:rsidRPr="00E41DAE" w:rsidRDefault="0071468E" w:rsidP="00ED7999">
      <w:pPr>
        <w:pStyle w:val="ListParagraph"/>
        <w:tabs>
          <w:tab w:val="left" w:pos="142"/>
        </w:tabs>
        <w:spacing w:after="0"/>
        <w:ind w:left="284"/>
        <w:jc w:val="both"/>
        <w:rPr>
          <w:sz w:val="18"/>
        </w:rPr>
      </w:pPr>
    </w:p>
    <w:p w:rsidR="0071468E" w:rsidRDefault="0073309C" w:rsidP="00045647">
      <w:pPr>
        <w:pStyle w:val="ListParagraph"/>
        <w:tabs>
          <w:tab w:val="left" w:pos="142"/>
        </w:tabs>
        <w:ind w:left="284"/>
        <w:jc w:val="both"/>
        <w:rPr>
          <w:sz w:val="24"/>
        </w:rPr>
      </w:pPr>
      <w:r w:rsidRPr="0073309C">
        <w:rPr>
          <w:noProof/>
          <w:lang w:eastAsia="fr-FR"/>
        </w:rPr>
        <w:drawing>
          <wp:inline distT="0" distB="0" distL="0" distR="0">
            <wp:extent cx="5760720" cy="950070"/>
            <wp:effectExtent l="19050" t="0" r="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5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999" w:rsidRDefault="00183E5D" w:rsidP="005F749D">
      <w:pPr>
        <w:pStyle w:val="ListParagraph"/>
        <w:tabs>
          <w:tab w:val="left" w:pos="142"/>
        </w:tabs>
        <w:ind w:left="284"/>
        <w:jc w:val="center"/>
        <w:outlineLvl w:val="0"/>
        <w:rPr>
          <w:b/>
          <w:i/>
          <w:sz w:val="20"/>
        </w:rPr>
      </w:pPr>
      <w:r w:rsidRPr="00CC624A">
        <w:rPr>
          <w:b/>
          <w:i/>
          <w:sz w:val="20"/>
        </w:rPr>
        <w:t xml:space="preserve">Tableau </w:t>
      </w:r>
      <w:r w:rsidR="00E41DAE">
        <w:rPr>
          <w:b/>
          <w:i/>
          <w:sz w:val="20"/>
        </w:rPr>
        <w:t>4 Bis</w:t>
      </w:r>
      <w:r w:rsidRPr="00CC624A">
        <w:rPr>
          <w:b/>
          <w:i/>
          <w:sz w:val="20"/>
        </w:rPr>
        <w:t xml:space="preserve"> : </w:t>
      </w:r>
      <w:r w:rsidR="0073309C">
        <w:rPr>
          <w:b/>
          <w:i/>
          <w:sz w:val="20"/>
        </w:rPr>
        <w:t>Deux</w:t>
      </w:r>
      <w:r w:rsidRPr="00CC624A">
        <w:rPr>
          <w:b/>
          <w:i/>
          <w:sz w:val="20"/>
        </w:rPr>
        <w:t xml:space="preserve"> scénarios du coût d’investissement</w:t>
      </w:r>
      <w:r w:rsidR="00ED7999" w:rsidRPr="00ED7999">
        <w:rPr>
          <w:b/>
          <w:i/>
          <w:sz w:val="20"/>
        </w:rPr>
        <w:t xml:space="preserve"> </w:t>
      </w:r>
      <w:r w:rsidR="00ED7999">
        <w:rPr>
          <w:b/>
          <w:i/>
          <w:sz w:val="20"/>
        </w:rPr>
        <w:t>en</w:t>
      </w:r>
      <w:r w:rsidR="00ED7999" w:rsidRPr="00CC624A">
        <w:rPr>
          <w:b/>
          <w:i/>
          <w:sz w:val="20"/>
        </w:rPr>
        <w:t xml:space="preserve"> </w:t>
      </w:r>
      <w:r w:rsidR="00ED7999" w:rsidRPr="00137681">
        <w:rPr>
          <w:b/>
          <w:i/>
          <w:sz w:val="20"/>
        </w:rPr>
        <w:t>M</w:t>
      </w:r>
      <w:r w:rsidR="00ED7999" w:rsidRPr="00137681">
        <w:rPr>
          <w:rFonts w:ascii="Arial" w:hAnsi="Arial" w:cs="Arial"/>
          <w:b/>
          <w:i/>
          <w:sz w:val="20"/>
        </w:rPr>
        <w:t>€</w:t>
      </w:r>
      <w:r w:rsidR="00ED7999">
        <w:rPr>
          <w:b/>
          <w:i/>
          <w:sz w:val="20"/>
        </w:rPr>
        <w:t xml:space="preserve"> </w:t>
      </w:r>
      <w:r w:rsidRPr="00CC624A">
        <w:rPr>
          <w:b/>
          <w:i/>
          <w:sz w:val="20"/>
        </w:rPr>
        <w:t xml:space="preserve"> et de son amortissement </w:t>
      </w:r>
    </w:p>
    <w:p w:rsidR="00E41DAE" w:rsidRDefault="00E41DAE" w:rsidP="00045647">
      <w:pPr>
        <w:pStyle w:val="ListParagraph"/>
        <w:tabs>
          <w:tab w:val="left" w:pos="142"/>
        </w:tabs>
        <w:ind w:left="284"/>
        <w:jc w:val="center"/>
        <w:rPr>
          <w:b/>
          <w:i/>
          <w:sz w:val="20"/>
        </w:rPr>
      </w:pPr>
      <w:r>
        <w:rPr>
          <w:b/>
          <w:i/>
          <w:sz w:val="20"/>
        </w:rPr>
        <w:t>Source : Union Française de l’Electricité</w:t>
      </w:r>
    </w:p>
    <w:p w:rsidR="00CC624A" w:rsidRPr="00603D2A" w:rsidRDefault="00CC624A" w:rsidP="00045647">
      <w:pPr>
        <w:pStyle w:val="ListParagraph"/>
        <w:tabs>
          <w:tab w:val="left" w:pos="142"/>
        </w:tabs>
        <w:ind w:left="284"/>
        <w:jc w:val="both"/>
        <w:rPr>
          <w:b/>
          <w:i/>
          <w:sz w:val="12"/>
        </w:rPr>
      </w:pPr>
    </w:p>
    <w:p w:rsidR="00117481" w:rsidRDefault="00FC504A" w:rsidP="00045647">
      <w:pPr>
        <w:pStyle w:val="ListParagraph"/>
        <w:tabs>
          <w:tab w:val="left" w:pos="142"/>
        </w:tabs>
        <w:ind w:left="284"/>
        <w:jc w:val="both"/>
        <w:rPr>
          <w:sz w:val="24"/>
        </w:rPr>
      </w:pPr>
      <w:r>
        <w:rPr>
          <w:sz w:val="24"/>
        </w:rPr>
        <w:t>Les coûts d’investissement relatifs aux ou</w:t>
      </w:r>
      <w:r w:rsidR="00CB2D02">
        <w:rPr>
          <w:sz w:val="24"/>
        </w:rPr>
        <w:t xml:space="preserve">vrages hydro-électriques étant </w:t>
      </w:r>
      <w:r>
        <w:rPr>
          <w:sz w:val="24"/>
        </w:rPr>
        <w:t>très variables entre les petits ouvrages (&lt; 7,5 MW) et les grandes installations (&gt; 7,5 MW)</w:t>
      </w:r>
      <w:r w:rsidR="00BF17CC">
        <w:rPr>
          <w:sz w:val="24"/>
        </w:rPr>
        <w:t xml:space="preserve">, </w:t>
      </w:r>
      <w:r w:rsidR="00CB2D02">
        <w:rPr>
          <w:sz w:val="24"/>
        </w:rPr>
        <w:t>une répartition par catégorie d’ouvrages a</w:t>
      </w:r>
      <w:r>
        <w:rPr>
          <w:sz w:val="24"/>
        </w:rPr>
        <w:t xml:space="preserve"> été établie afin d</w:t>
      </w:r>
      <w:r w:rsidR="00BF17CC">
        <w:rPr>
          <w:sz w:val="24"/>
        </w:rPr>
        <w:t>’</w:t>
      </w:r>
      <w:r>
        <w:rPr>
          <w:sz w:val="24"/>
        </w:rPr>
        <w:t>e</w:t>
      </w:r>
      <w:r w:rsidR="00CB2D02">
        <w:rPr>
          <w:sz w:val="24"/>
        </w:rPr>
        <w:t xml:space="preserve">stimer </w:t>
      </w:r>
      <w:r w:rsidR="00BF17CC">
        <w:rPr>
          <w:sz w:val="24"/>
        </w:rPr>
        <w:t xml:space="preserve">au mieux </w:t>
      </w:r>
      <w:r w:rsidR="00CB2D02">
        <w:rPr>
          <w:sz w:val="24"/>
        </w:rPr>
        <w:t xml:space="preserve">l’amortissement </w:t>
      </w:r>
      <w:r w:rsidR="00117481">
        <w:rPr>
          <w:sz w:val="24"/>
        </w:rPr>
        <w:t xml:space="preserve">du capital </w:t>
      </w:r>
      <w:r w:rsidR="00BF17CC">
        <w:rPr>
          <w:sz w:val="24"/>
        </w:rPr>
        <w:t xml:space="preserve">du patrimoine hydro-électrique </w:t>
      </w:r>
      <w:r w:rsidR="00CC624A">
        <w:rPr>
          <w:sz w:val="24"/>
        </w:rPr>
        <w:t>sur le bassin</w:t>
      </w:r>
      <w:r w:rsidR="00BF17CC">
        <w:rPr>
          <w:sz w:val="24"/>
        </w:rPr>
        <w:t>.</w:t>
      </w:r>
    </w:p>
    <w:p w:rsidR="00B23692" w:rsidRDefault="00BF17CC" w:rsidP="00045647">
      <w:pPr>
        <w:pStyle w:val="ListParagraph"/>
        <w:tabs>
          <w:tab w:val="left" w:pos="142"/>
        </w:tabs>
        <w:ind w:left="284"/>
        <w:jc w:val="both"/>
        <w:rPr>
          <w:sz w:val="24"/>
        </w:rPr>
      </w:pPr>
      <w:r>
        <w:rPr>
          <w:sz w:val="24"/>
        </w:rPr>
        <w:t xml:space="preserve">Une moyenne des données de la DGEC et </w:t>
      </w:r>
      <w:r w:rsidR="00B23692">
        <w:rPr>
          <w:sz w:val="24"/>
        </w:rPr>
        <w:t xml:space="preserve">de </w:t>
      </w:r>
      <w:r>
        <w:rPr>
          <w:sz w:val="24"/>
        </w:rPr>
        <w:t>celles de l’</w:t>
      </w:r>
      <w:r w:rsidR="0071468E">
        <w:rPr>
          <w:sz w:val="24"/>
        </w:rPr>
        <w:t xml:space="preserve">UFE a ensuite été </w:t>
      </w:r>
      <w:r w:rsidR="00045647">
        <w:rPr>
          <w:sz w:val="24"/>
        </w:rPr>
        <w:t>réalisée</w:t>
      </w:r>
      <w:r w:rsidR="0071468E">
        <w:rPr>
          <w:sz w:val="24"/>
        </w:rPr>
        <w:t xml:space="preserve"> pour aboutir aux </w:t>
      </w:r>
      <w:r w:rsidR="00CB2D02">
        <w:rPr>
          <w:sz w:val="24"/>
        </w:rPr>
        <w:t xml:space="preserve">amortissements </w:t>
      </w:r>
      <w:r w:rsidR="008F57B3">
        <w:rPr>
          <w:sz w:val="24"/>
        </w:rPr>
        <w:t xml:space="preserve">annuels </w:t>
      </w:r>
      <w:r w:rsidR="00CB2D02">
        <w:rPr>
          <w:sz w:val="24"/>
        </w:rPr>
        <w:t>de capital présenté</w:t>
      </w:r>
      <w:r w:rsidR="0071468E">
        <w:rPr>
          <w:sz w:val="24"/>
        </w:rPr>
        <w:t>s dans le tableau 1</w:t>
      </w:r>
      <w:r w:rsidR="00B23692">
        <w:rPr>
          <w:sz w:val="24"/>
        </w:rPr>
        <w:t>.</w:t>
      </w:r>
    </w:p>
    <w:p w:rsidR="00C14AD1" w:rsidRDefault="00C14AD1" w:rsidP="00045647">
      <w:pPr>
        <w:pStyle w:val="ListParagraph"/>
        <w:tabs>
          <w:tab w:val="left" w:pos="142"/>
        </w:tabs>
        <w:ind w:left="284"/>
        <w:jc w:val="both"/>
        <w:rPr>
          <w:sz w:val="24"/>
        </w:rPr>
      </w:pPr>
    </w:p>
    <w:p w:rsidR="00137681" w:rsidRDefault="00B23692" w:rsidP="00045647">
      <w:pPr>
        <w:pStyle w:val="ListParagraph"/>
        <w:numPr>
          <w:ilvl w:val="0"/>
          <w:numId w:val="1"/>
        </w:numPr>
        <w:tabs>
          <w:tab w:val="left" w:pos="142"/>
        </w:tabs>
        <w:ind w:left="142" w:hanging="142"/>
        <w:jc w:val="both"/>
        <w:rPr>
          <w:sz w:val="24"/>
        </w:rPr>
      </w:pPr>
      <w:r>
        <w:rPr>
          <w:sz w:val="24"/>
        </w:rPr>
        <w:t xml:space="preserve">  </w:t>
      </w:r>
      <w:r w:rsidR="00137681">
        <w:rPr>
          <w:sz w:val="24"/>
        </w:rPr>
        <w:t>Les charges d’exploitation</w:t>
      </w:r>
      <w:r w:rsidR="00CC624A">
        <w:rPr>
          <w:sz w:val="24"/>
        </w:rPr>
        <w:t xml:space="preserve"> et les transferts payés, quant à eux, </w:t>
      </w:r>
      <w:r w:rsidR="00137681">
        <w:rPr>
          <w:sz w:val="24"/>
        </w:rPr>
        <w:t xml:space="preserve"> sont issus des données fournies par </w:t>
      </w:r>
      <w:r w:rsidR="000B50C2">
        <w:rPr>
          <w:sz w:val="24"/>
        </w:rPr>
        <w:t>l’Agence de l’Eau et le rapport financier de la VNF</w:t>
      </w:r>
      <w:r w:rsidR="00CC624A">
        <w:rPr>
          <w:sz w:val="24"/>
        </w:rPr>
        <w:t xml:space="preserve"> et sont </w:t>
      </w:r>
      <w:r w:rsidR="00137681">
        <w:rPr>
          <w:sz w:val="24"/>
        </w:rPr>
        <w:t>regroupés dans le tableau 4</w:t>
      </w:r>
      <w:r w:rsidR="000B50C2">
        <w:rPr>
          <w:sz w:val="24"/>
        </w:rPr>
        <w:t> :</w:t>
      </w:r>
    </w:p>
    <w:p w:rsidR="00BF17CC" w:rsidRPr="00045647" w:rsidRDefault="00BF17CC" w:rsidP="00045647">
      <w:pPr>
        <w:pStyle w:val="ListParagraph"/>
        <w:tabs>
          <w:tab w:val="left" w:pos="142"/>
        </w:tabs>
        <w:ind w:left="284"/>
        <w:jc w:val="both"/>
        <w:rPr>
          <w:sz w:val="16"/>
        </w:rPr>
      </w:pPr>
    </w:p>
    <w:p w:rsidR="00BF17CC" w:rsidRDefault="00590C1D" w:rsidP="00590C1D">
      <w:pPr>
        <w:pStyle w:val="ListParagraph"/>
        <w:tabs>
          <w:tab w:val="left" w:pos="142"/>
        </w:tabs>
        <w:ind w:left="284"/>
        <w:jc w:val="center"/>
        <w:rPr>
          <w:sz w:val="24"/>
        </w:rPr>
      </w:pPr>
      <w:r w:rsidRPr="00590C1D">
        <w:lastRenderedPageBreak/>
        <w:drawing>
          <wp:inline distT="0" distB="0" distL="0" distR="0">
            <wp:extent cx="4625340" cy="967740"/>
            <wp:effectExtent l="19050" t="0" r="381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34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24A" w:rsidRDefault="00CC624A" w:rsidP="005F749D">
      <w:pPr>
        <w:pStyle w:val="ListParagraph"/>
        <w:tabs>
          <w:tab w:val="left" w:pos="142"/>
        </w:tabs>
        <w:ind w:left="284"/>
        <w:jc w:val="center"/>
        <w:outlineLvl w:val="0"/>
        <w:rPr>
          <w:b/>
          <w:i/>
          <w:sz w:val="20"/>
        </w:rPr>
      </w:pPr>
      <w:r w:rsidRPr="00CC624A">
        <w:rPr>
          <w:b/>
          <w:i/>
          <w:sz w:val="20"/>
        </w:rPr>
        <w:t>Tableau 4 : Estimation des charges d’exploitation et des transferts payés pour le service hydroélectrique</w:t>
      </w:r>
    </w:p>
    <w:p w:rsidR="00590C1D" w:rsidRDefault="00590C1D" w:rsidP="00224D6D">
      <w:pPr>
        <w:pStyle w:val="ListParagraph"/>
        <w:tabs>
          <w:tab w:val="left" w:pos="142"/>
        </w:tabs>
        <w:ind w:left="0"/>
        <w:jc w:val="both"/>
        <w:rPr>
          <w:sz w:val="24"/>
        </w:rPr>
      </w:pPr>
    </w:p>
    <w:p w:rsidR="00045647" w:rsidRPr="00224D6D" w:rsidRDefault="00224D6D" w:rsidP="00224D6D">
      <w:pPr>
        <w:pStyle w:val="ListParagraph"/>
        <w:tabs>
          <w:tab w:val="left" w:pos="142"/>
        </w:tabs>
        <w:ind w:left="0"/>
        <w:jc w:val="both"/>
        <w:rPr>
          <w:sz w:val="24"/>
        </w:rPr>
      </w:pPr>
      <w:r w:rsidRPr="00224D6D">
        <w:rPr>
          <w:sz w:val="24"/>
        </w:rPr>
        <w:t>Les taxes et redevances incluent la taxe VNF et les redevances prélèvement versées à l’Agence de l’Eau</w:t>
      </w:r>
      <w:r>
        <w:rPr>
          <w:sz w:val="24"/>
        </w:rPr>
        <w:t>.</w:t>
      </w:r>
    </w:p>
    <w:p w:rsidR="00224D6D" w:rsidRDefault="00224D6D" w:rsidP="00045647">
      <w:pPr>
        <w:pStyle w:val="ListParagraph"/>
        <w:tabs>
          <w:tab w:val="left" w:pos="142"/>
        </w:tabs>
        <w:ind w:left="284"/>
        <w:jc w:val="center"/>
        <w:rPr>
          <w:b/>
          <w:i/>
          <w:sz w:val="14"/>
        </w:rPr>
      </w:pPr>
    </w:p>
    <w:p w:rsidR="00224D6D" w:rsidRPr="00045647" w:rsidRDefault="00224D6D" w:rsidP="00045647">
      <w:pPr>
        <w:pStyle w:val="ListParagraph"/>
        <w:tabs>
          <w:tab w:val="left" w:pos="142"/>
        </w:tabs>
        <w:ind w:left="284"/>
        <w:jc w:val="center"/>
        <w:rPr>
          <w:b/>
          <w:i/>
          <w:sz w:val="14"/>
        </w:rPr>
      </w:pPr>
    </w:p>
    <w:p w:rsidR="00FA4B00" w:rsidRPr="000B50C2" w:rsidRDefault="000B50C2" w:rsidP="000B50C2">
      <w:pPr>
        <w:pStyle w:val="ListParagraph"/>
        <w:numPr>
          <w:ilvl w:val="0"/>
          <w:numId w:val="1"/>
        </w:numPr>
        <w:tabs>
          <w:tab w:val="left" w:pos="142"/>
        </w:tabs>
        <w:ind w:left="142" w:hanging="142"/>
        <w:jc w:val="both"/>
        <w:rPr>
          <w:sz w:val="24"/>
        </w:rPr>
      </w:pPr>
      <w:r>
        <w:rPr>
          <w:sz w:val="24"/>
        </w:rPr>
        <w:t xml:space="preserve">Les industriels (EDF et CNR) perçoivent des aides de la part de l’Agence de l’Eau, majoritairement pour des </w:t>
      </w:r>
      <w:r w:rsidRPr="000B50C2">
        <w:rPr>
          <w:sz w:val="24"/>
        </w:rPr>
        <w:t>sur les opérations de continuité biologique (franchissement, connectivité dont</w:t>
      </w:r>
      <w:r>
        <w:rPr>
          <w:sz w:val="24"/>
        </w:rPr>
        <w:t xml:space="preserve"> </w:t>
      </w:r>
      <w:r w:rsidRPr="000B50C2">
        <w:rPr>
          <w:sz w:val="24"/>
        </w:rPr>
        <w:t xml:space="preserve">restauration de </w:t>
      </w:r>
      <w:proofErr w:type="spellStart"/>
      <w:r w:rsidRPr="000B50C2">
        <w:rPr>
          <w:sz w:val="24"/>
        </w:rPr>
        <w:t>lônes</w:t>
      </w:r>
      <w:proofErr w:type="spellEnd"/>
      <w:r w:rsidRPr="000B50C2">
        <w:rPr>
          <w:sz w:val="24"/>
        </w:rPr>
        <w:t>)</w:t>
      </w:r>
      <w:r>
        <w:rPr>
          <w:sz w:val="24"/>
        </w:rPr>
        <w:t>. Sur la période 2010-2011, le montant annuel d’aides de la part de l’Agence de l’Eau RMC est de 8,2 M€ (3,9 M€ pour la CNR et 4,3 M€ pour EDF) [4].</w:t>
      </w:r>
    </w:p>
    <w:p w:rsidR="00137681" w:rsidRDefault="00C61575" w:rsidP="005F749D">
      <w:pPr>
        <w:jc w:val="both"/>
        <w:outlineLvl w:val="0"/>
        <w:rPr>
          <w:rStyle w:val="apple-converted-space"/>
          <w:rFonts w:ascii="Verdana" w:hAnsi="Verdana"/>
          <w:color w:val="000000"/>
          <w:sz w:val="20"/>
          <w:szCs w:val="20"/>
          <w:shd w:val="clear" w:color="auto" w:fill="F5F5F5"/>
        </w:rPr>
      </w:pPr>
      <w:r w:rsidRPr="00FA4B00">
        <w:rPr>
          <w:b/>
          <w:sz w:val="24"/>
          <w:u w:val="single"/>
        </w:rPr>
        <w:t>Source</w:t>
      </w:r>
      <w:r w:rsidR="00045647">
        <w:rPr>
          <w:b/>
          <w:sz w:val="24"/>
          <w:u w:val="single"/>
        </w:rPr>
        <w:t>s</w:t>
      </w:r>
      <w:r w:rsidRPr="00FA4B00">
        <w:rPr>
          <w:b/>
          <w:sz w:val="24"/>
          <w:u w:val="single"/>
        </w:rPr>
        <w:t xml:space="preserve"> : </w:t>
      </w:r>
    </w:p>
    <w:p w:rsidR="00B23692" w:rsidRPr="00B23692" w:rsidRDefault="00B23692" w:rsidP="00603D2A">
      <w:pPr>
        <w:tabs>
          <w:tab w:val="left" w:pos="142"/>
        </w:tabs>
        <w:spacing w:after="0" w:line="240" w:lineRule="auto"/>
        <w:jc w:val="both"/>
        <w:rPr>
          <w:sz w:val="24"/>
        </w:rPr>
      </w:pPr>
      <w:r w:rsidRPr="00B23692">
        <w:rPr>
          <w:sz w:val="24"/>
        </w:rPr>
        <w:t>[1]</w:t>
      </w:r>
      <w:r w:rsidR="00603D2A">
        <w:rPr>
          <w:sz w:val="24"/>
        </w:rPr>
        <w:t xml:space="preserve"> </w:t>
      </w:r>
      <w:r>
        <w:rPr>
          <w:sz w:val="24"/>
        </w:rPr>
        <w:t>F</w:t>
      </w:r>
      <w:r w:rsidRPr="00B23692">
        <w:rPr>
          <w:sz w:val="24"/>
        </w:rPr>
        <w:t xml:space="preserve">ichier des redevances de prélèvement hydro-électrique </w:t>
      </w:r>
      <w:r>
        <w:rPr>
          <w:sz w:val="24"/>
        </w:rPr>
        <w:t>perçues par l’agence de l’eau RMC en 2011</w:t>
      </w:r>
    </w:p>
    <w:p w:rsidR="00FA4B00" w:rsidRPr="00FA4B00" w:rsidRDefault="00045647" w:rsidP="00603D2A">
      <w:pPr>
        <w:spacing w:after="0" w:line="240" w:lineRule="auto"/>
        <w:jc w:val="both"/>
        <w:rPr>
          <w:b/>
          <w:sz w:val="24"/>
          <w:u w:val="single"/>
        </w:rPr>
      </w:pPr>
      <w:r>
        <w:rPr>
          <w:sz w:val="24"/>
        </w:rPr>
        <w:t>[2]</w:t>
      </w:r>
      <w:r w:rsidR="00603D2A">
        <w:rPr>
          <w:sz w:val="24"/>
        </w:rPr>
        <w:t xml:space="preserve"> </w:t>
      </w:r>
      <w:r w:rsidR="00E41DAE">
        <w:rPr>
          <w:sz w:val="24"/>
        </w:rPr>
        <w:t>DGEC 2008 </w:t>
      </w:r>
      <w:r>
        <w:rPr>
          <w:sz w:val="24"/>
        </w:rPr>
        <w:t>– « </w:t>
      </w:r>
      <w:r w:rsidR="00FA4B00" w:rsidRPr="00B4221B">
        <w:rPr>
          <w:sz w:val="24"/>
        </w:rPr>
        <w:t>Synthèse publique de l'étude des coûts de référence de la production électrique</w:t>
      </w:r>
      <w:r>
        <w:rPr>
          <w:sz w:val="24"/>
        </w:rPr>
        <w:t> »</w:t>
      </w:r>
    </w:p>
    <w:p w:rsidR="00FA4B00" w:rsidRDefault="00603D2A" w:rsidP="00603D2A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[3] </w:t>
      </w:r>
      <w:r w:rsidR="00137681" w:rsidRPr="00E41DAE">
        <w:rPr>
          <w:sz w:val="24"/>
        </w:rPr>
        <w:t>Entretiens téléphonique</w:t>
      </w:r>
      <w:r w:rsidR="007B15AF">
        <w:rPr>
          <w:sz w:val="24"/>
        </w:rPr>
        <w:t>s</w:t>
      </w:r>
      <w:r w:rsidR="00137681" w:rsidRPr="00E41DAE">
        <w:rPr>
          <w:sz w:val="24"/>
        </w:rPr>
        <w:t xml:space="preserve"> avec un membre de l’UFE (Unité Française de l’Electricité)</w:t>
      </w:r>
    </w:p>
    <w:p w:rsidR="000B50C2" w:rsidRPr="00E41DAE" w:rsidRDefault="000B50C2" w:rsidP="000B50C2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sz w:val="24"/>
        </w:rPr>
        <w:t>[4] Politique de l’agence vis-à-vis de la production d’électricité par les ouvrages hydrauliques des bassins RM&amp;C, 16/09/2011</w:t>
      </w:r>
    </w:p>
    <w:sectPr w:rsidR="000B50C2" w:rsidRPr="00E41DAE" w:rsidSect="00045647">
      <w:footerReference w:type="even" r:id="rId14"/>
      <w:footerReference w:type="default" r:id="rId15"/>
      <w:pgSz w:w="11906" w:h="16838"/>
      <w:pgMar w:top="957" w:right="1417" w:bottom="1417" w:left="1417" w:header="708" w:footer="5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9AE" w:rsidRDefault="005A09AE" w:rsidP="002A1637">
      <w:pPr>
        <w:spacing w:after="0" w:line="240" w:lineRule="auto"/>
      </w:pPr>
      <w:r>
        <w:separator/>
      </w:r>
    </w:p>
  </w:endnote>
  <w:endnote w:type="continuationSeparator" w:id="0">
    <w:p w:rsidR="005A09AE" w:rsidRDefault="005A09AE" w:rsidP="002A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49D" w:rsidRPr="005F749D" w:rsidRDefault="005F749D">
    <w:pPr>
      <w:pStyle w:val="Footer"/>
      <w:rPr>
        <w:sz w:val="16"/>
      </w:rPr>
    </w:pPr>
    <w:r w:rsidRPr="005F749D">
      <w:rPr>
        <w:sz w:val="16"/>
      </w:rPr>
      <w:t>Récupération des coûts des services liés à l’utilisation de l’eau sur les bassins Rhône Méditerranée &amp; Corse – Mission 3</w:t>
    </w:r>
    <w:r>
      <w:rPr>
        <w:sz w:val="16"/>
      </w:rPr>
      <w:tab/>
      <w:t>Août 2013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647" w:rsidRPr="00045647" w:rsidRDefault="00F76E72" w:rsidP="00045647">
    <w:pPr>
      <w:pStyle w:val="Footer"/>
      <w:rPr>
        <w:i/>
        <w:sz w:val="18"/>
      </w:rPr>
    </w:pPr>
    <w:r>
      <w:rPr>
        <w:i/>
        <w:noProof/>
        <w:sz w:val="18"/>
        <w:lang w:eastAsia="fr-F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9217" type="#_x0000_t32" style="position:absolute;margin-left:-10.1pt;margin-top:-8.8pt;width:459.75pt;height:0;z-index:251658240" o:connectortype="straight" strokecolor="#a5a5a5 [2092]"/>
      </w:pict>
    </w:r>
    <w:r w:rsidR="00045647" w:rsidRPr="00045647">
      <w:rPr>
        <w:i/>
        <w:sz w:val="18"/>
      </w:rPr>
      <w:t>*DGEC : Direction Générale de l’Energie et du Climat</w:t>
    </w:r>
  </w:p>
  <w:p w:rsidR="00045647" w:rsidRPr="00045647" w:rsidRDefault="00045647" w:rsidP="00045647">
    <w:pPr>
      <w:pStyle w:val="Footer"/>
      <w:rPr>
        <w:i/>
        <w:sz w:val="18"/>
      </w:rPr>
    </w:pPr>
    <w:r w:rsidRPr="00045647">
      <w:rPr>
        <w:i/>
        <w:sz w:val="18"/>
      </w:rPr>
      <w:t>** UFE : Union Française de l’électricité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9AE" w:rsidRDefault="005A09AE" w:rsidP="002A1637">
      <w:pPr>
        <w:spacing w:after="0" w:line="240" w:lineRule="auto"/>
      </w:pPr>
      <w:r>
        <w:separator/>
      </w:r>
    </w:p>
  </w:footnote>
  <w:footnote w:type="continuationSeparator" w:id="0">
    <w:p w:rsidR="005A09AE" w:rsidRDefault="005A09AE" w:rsidP="002A1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4210F"/>
    <w:multiLevelType w:val="hybridMultilevel"/>
    <w:tmpl w:val="F1BC68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804838"/>
    <w:multiLevelType w:val="hybridMultilevel"/>
    <w:tmpl w:val="662AF18A"/>
    <w:lvl w:ilvl="0" w:tplc="8392EAA6">
      <w:start w:val="2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6707CB"/>
    <w:multiLevelType w:val="hybridMultilevel"/>
    <w:tmpl w:val="A7725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BF63BA"/>
    <w:multiLevelType w:val="hybridMultilevel"/>
    <w:tmpl w:val="4C28ECB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A763351"/>
    <w:multiLevelType w:val="hybridMultilevel"/>
    <w:tmpl w:val="CB1EC9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A933D5"/>
    <w:multiLevelType w:val="hybridMultilevel"/>
    <w:tmpl w:val="79342D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D53DBB"/>
    <w:multiLevelType w:val="hybridMultilevel"/>
    <w:tmpl w:val="CEA4EA74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4818">
      <o:colormenu v:ext="edit" fillcolor="none" strokecolor="none [2092]"/>
    </o:shapedefaults>
    <o:shapelayout v:ext="edit">
      <o:idmap v:ext="edit" data="9"/>
      <o:rules v:ext="edit">
        <o:r id="V:Rule2" type="connector" idref="#_x0000_s921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C47D2"/>
    <w:rsid w:val="000115CA"/>
    <w:rsid w:val="00045647"/>
    <w:rsid w:val="0006699F"/>
    <w:rsid w:val="000B50C2"/>
    <w:rsid w:val="00117481"/>
    <w:rsid w:val="00137681"/>
    <w:rsid w:val="00183E5D"/>
    <w:rsid w:val="001A4970"/>
    <w:rsid w:val="00224D6D"/>
    <w:rsid w:val="002A1637"/>
    <w:rsid w:val="002A187A"/>
    <w:rsid w:val="002A45F0"/>
    <w:rsid w:val="002B54D1"/>
    <w:rsid w:val="002E4CBA"/>
    <w:rsid w:val="003113E1"/>
    <w:rsid w:val="0032098A"/>
    <w:rsid w:val="0033076E"/>
    <w:rsid w:val="00357CB5"/>
    <w:rsid w:val="00361E63"/>
    <w:rsid w:val="00377A2B"/>
    <w:rsid w:val="00391B19"/>
    <w:rsid w:val="003B79B5"/>
    <w:rsid w:val="00432A32"/>
    <w:rsid w:val="004437B2"/>
    <w:rsid w:val="0055707C"/>
    <w:rsid w:val="00590C1D"/>
    <w:rsid w:val="005A09AE"/>
    <w:rsid w:val="005E2CE7"/>
    <w:rsid w:val="005F3106"/>
    <w:rsid w:val="005F749D"/>
    <w:rsid w:val="00603D2A"/>
    <w:rsid w:val="00615360"/>
    <w:rsid w:val="0061702F"/>
    <w:rsid w:val="00650501"/>
    <w:rsid w:val="00663C45"/>
    <w:rsid w:val="006816C1"/>
    <w:rsid w:val="006978CC"/>
    <w:rsid w:val="006E610C"/>
    <w:rsid w:val="0071468E"/>
    <w:rsid w:val="00724FA2"/>
    <w:rsid w:val="0073309C"/>
    <w:rsid w:val="00752B8A"/>
    <w:rsid w:val="007931CB"/>
    <w:rsid w:val="007A2C11"/>
    <w:rsid w:val="007A5360"/>
    <w:rsid w:val="007B15AF"/>
    <w:rsid w:val="007D5347"/>
    <w:rsid w:val="007F7611"/>
    <w:rsid w:val="00840006"/>
    <w:rsid w:val="00873094"/>
    <w:rsid w:val="00885959"/>
    <w:rsid w:val="008A67ED"/>
    <w:rsid w:val="008C27B9"/>
    <w:rsid w:val="008E7B3F"/>
    <w:rsid w:val="008F57B3"/>
    <w:rsid w:val="00901C1C"/>
    <w:rsid w:val="00902014"/>
    <w:rsid w:val="00914076"/>
    <w:rsid w:val="0096607D"/>
    <w:rsid w:val="009B72D4"/>
    <w:rsid w:val="009C4FA9"/>
    <w:rsid w:val="00A003F0"/>
    <w:rsid w:val="00A562D6"/>
    <w:rsid w:val="00A67F15"/>
    <w:rsid w:val="00B23692"/>
    <w:rsid w:val="00B32443"/>
    <w:rsid w:val="00B4221B"/>
    <w:rsid w:val="00BC3D39"/>
    <w:rsid w:val="00BF17CC"/>
    <w:rsid w:val="00BF7FDB"/>
    <w:rsid w:val="00C14AD1"/>
    <w:rsid w:val="00C61575"/>
    <w:rsid w:val="00C64012"/>
    <w:rsid w:val="00C80B20"/>
    <w:rsid w:val="00C827B0"/>
    <w:rsid w:val="00C9430B"/>
    <w:rsid w:val="00CA23B7"/>
    <w:rsid w:val="00CB2D02"/>
    <w:rsid w:val="00CC624A"/>
    <w:rsid w:val="00CF14D6"/>
    <w:rsid w:val="00CF5F8A"/>
    <w:rsid w:val="00CF6D7D"/>
    <w:rsid w:val="00D36612"/>
    <w:rsid w:val="00D825C1"/>
    <w:rsid w:val="00D926CE"/>
    <w:rsid w:val="00D9576D"/>
    <w:rsid w:val="00DB2720"/>
    <w:rsid w:val="00DC47D2"/>
    <w:rsid w:val="00DD7303"/>
    <w:rsid w:val="00DF1D51"/>
    <w:rsid w:val="00E126E7"/>
    <w:rsid w:val="00E41DAE"/>
    <w:rsid w:val="00E45FD1"/>
    <w:rsid w:val="00E67ECA"/>
    <w:rsid w:val="00E72A2A"/>
    <w:rsid w:val="00E84CE7"/>
    <w:rsid w:val="00EB31A6"/>
    <w:rsid w:val="00EC2924"/>
    <w:rsid w:val="00ED7999"/>
    <w:rsid w:val="00F15493"/>
    <w:rsid w:val="00F341AD"/>
    <w:rsid w:val="00F37664"/>
    <w:rsid w:val="00F41DB7"/>
    <w:rsid w:val="00F76E72"/>
    <w:rsid w:val="00F90605"/>
    <w:rsid w:val="00F934ED"/>
    <w:rsid w:val="00FA0BA8"/>
    <w:rsid w:val="00FA1DB3"/>
    <w:rsid w:val="00FA4B00"/>
    <w:rsid w:val="00FB6FB0"/>
    <w:rsid w:val="00FC504A"/>
    <w:rsid w:val="00FD496C"/>
    <w:rsid w:val="00FE3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>
      <o:colormenu v:ext="edit" fillcolor="none" strokecolor="none [209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CE7"/>
  </w:style>
  <w:style w:type="paragraph" w:styleId="Heading2">
    <w:name w:val="heading 2"/>
    <w:basedOn w:val="Normal"/>
    <w:link w:val="Heading2Char"/>
    <w:uiPriority w:val="9"/>
    <w:qFormat/>
    <w:rsid w:val="002B54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A1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1637"/>
  </w:style>
  <w:style w:type="paragraph" w:styleId="Footer">
    <w:name w:val="footer"/>
    <w:basedOn w:val="Normal"/>
    <w:link w:val="FooterChar"/>
    <w:uiPriority w:val="99"/>
    <w:semiHidden/>
    <w:unhideWhenUsed/>
    <w:rsid w:val="002A1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1637"/>
  </w:style>
  <w:style w:type="table" w:styleId="TableGrid">
    <w:name w:val="Table Grid"/>
    <w:basedOn w:val="TableNormal"/>
    <w:uiPriority w:val="59"/>
    <w:rsid w:val="00CF5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5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F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23B7"/>
    <w:pPr>
      <w:ind w:left="720"/>
      <w:contextualSpacing/>
    </w:pPr>
  </w:style>
  <w:style w:type="table" w:customStyle="1" w:styleId="LightShading1">
    <w:name w:val="Light Shading1"/>
    <w:basedOn w:val="TableNormal"/>
    <w:uiPriority w:val="60"/>
    <w:rsid w:val="002A45F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2B54D1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customStyle="1" w:styleId="bodytext">
    <w:name w:val="bodytext"/>
    <w:basedOn w:val="Normal"/>
    <w:rsid w:val="002B5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Hyperlink">
    <w:name w:val="Hyperlink"/>
    <w:basedOn w:val="DefaultParagraphFont"/>
    <w:uiPriority w:val="99"/>
    <w:unhideWhenUsed/>
    <w:rsid w:val="0006699F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FA4B00"/>
  </w:style>
  <w:style w:type="character" w:styleId="Strong">
    <w:name w:val="Strong"/>
    <w:basedOn w:val="DefaultParagraphFont"/>
    <w:uiPriority w:val="22"/>
    <w:qFormat/>
    <w:rsid w:val="00FA4B00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F7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749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003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03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03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03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03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DE799-1C3D-4728-BF6C-48678D962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619</Words>
  <Characters>3407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dc:description/>
  <cp:lastModifiedBy>Georges.Golla</cp:lastModifiedBy>
  <cp:revision>2</cp:revision>
  <dcterms:created xsi:type="dcterms:W3CDTF">2013-10-10T14:44:00Z</dcterms:created>
  <dcterms:modified xsi:type="dcterms:W3CDTF">2013-10-10T14:44:00Z</dcterms:modified>
</cp:coreProperties>
</file>